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F" w:rsidRDefault="00B95780" w:rsidP="00B95780">
      <w:pPr>
        <w:pStyle w:val="1"/>
      </w:pPr>
      <w:r>
        <w:t xml:space="preserve">Резюме проекта </w:t>
      </w:r>
      <w:bookmarkStart w:id="0" w:name="_GoBack"/>
      <w:bookmarkEnd w:id="0"/>
      <w:r w:rsidR="00BF6704" w:rsidRPr="009640C0">
        <w:t xml:space="preserve">международного </w:t>
      </w:r>
      <w:r w:rsidR="00BF6704">
        <w:t>промышленного</w:t>
      </w:r>
      <w:r w:rsidR="00BF6704" w:rsidRPr="009640C0">
        <w:t xml:space="preserve"> кластерного </w:t>
      </w:r>
      <w:r w:rsidR="00BF6704">
        <w:t>технопарка</w:t>
      </w:r>
      <w:r w:rsidR="00BF6704" w:rsidRPr="009640C0">
        <w:t xml:space="preserve"> трансфера технологии в области медицинской промышленности</w:t>
      </w:r>
    </w:p>
    <w:p w:rsidR="00B95780" w:rsidRDefault="00B95780" w:rsidP="00B95780">
      <w:pPr>
        <w:rPr>
          <w:b/>
        </w:rPr>
      </w:pPr>
    </w:p>
    <w:p w:rsidR="00B95780" w:rsidRPr="00F05A10" w:rsidRDefault="00B95780" w:rsidP="00B95780">
      <w:r w:rsidRPr="00D85086">
        <w:rPr>
          <w:b/>
        </w:rPr>
        <w:t>Наи</w:t>
      </w:r>
      <w:r w:rsidRPr="008715E8">
        <w:rPr>
          <w:b/>
        </w:rPr>
        <w:t xml:space="preserve">менование проекта: </w:t>
      </w:r>
      <w:r w:rsidRPr="00F05A10">
        <w:t xml:space="preserve">проект </w:t>
      </w:r>
      <w:r w:rsidRPr="009640C0">
        <w:t xml:space="preserve">международного </w:t>
      </w:r>
      <w:r w:rsidR="00BF6704">
        <w:t>промышленного</w:t>
      </w:r>
      <w:r w:rsidRPr="009640C0">
        <w:t xml:space="preserve"> кластерного </w:t>
      </w:r>
      <w:r w:rsidR="00BF6704">
        <w:t>технопарка</w:t>
      </w:r>
      <w:r w:rsidRPr="009640C0">
        <w:t xml:space="preserve"> трансфера технологии в области медицинской промышленности</w:t>
      </w:r>
      <w:r>
        <w:t xml:space="preserve"> </w:t>
      </w:r>
    </w:p>
    <w:p w:rsidR="00B95780" w:rsidRDefault="00B95780" w:rsidP="00B95780">
      <w:pPr>
        <w:rPr>
          <w:b/>
        </w:rPr>
      </w:pPr>
      <w:r>
        <w:rPr>
          <w:b/>
        </w:rPr>
        <w:t xml:space="preserve">Инициатор проекта: </w:t>
      </w:r>
      <w:r>
        <w:t>Некоммерческое партнерство «Кластер медицинского, экологического приборостроения и биотехнологий»</w:t>
      </w:r>
    </w:p>
    <w:p w:rsidR="00B95780" w:rsidRDefault="00B95780" w:rsidP="00B95780">
      <w:pPr>
        <w:rPr>
          <w:b/>
        </w:rPr>
      </w:pPr>
      <w:r>
        <w:rPr>
          <w:b/>
        </w:rPr>
        <w:t>Местонахождение проекта: г. Санкт-Петербург</w:t>
      </w:r>
    </w:p>
    <w:p w:rsidR="00B95780" w:rsidRPr="008B4ECC" w:rsidRDefault="00B95780" w:rsidP="00B95780">
      <w:r w:rsidRPr="008B4ECC">
        <w:rPr>
          <w:b/>
        </w:rPr>
        <w:t xml:space="preserve">Общая </w:t>
      </w:r>
      <w:r w:rsidRPr="00AF0772">
        <w:rPr>
          <w:b/>
        </w:rPr>
        <w:t>стоимость (бюджет) проекта:</w:t>
      </w:r>
      <w:r w:rsidRPr="00AF0772">
        <w:t xml:space="preserve"> </w:t>
      </w:r>
      <w:r>
        <w:t>2448</w:t>
      </w:r>
      <w:r w:rsidRPr="00AF0772">
        <w:t xml:space="preserve"> млн. руб.</w:t>
      </w:r>
    </w:p>
    <w:p w:rsidR="00B95780" w:rsidRPr="00B95780" w:rsidRDefault="00B95780" w:rsidP="00B95780">
      <w:pPr>
        <w:rPr>
          <w:b/>
        </w:rPr>
      </w:pPr>
      <w:bookmarkStart w:id="1" w:name="_Toc386983412"/>
      <w:r w:rsidRPr="00B95780">
        <w:rPr>
          <w:b/>
        </w:rPr>
        <w:t>Краткое описание проекта</w:t>
      </w:r>
      <w:bookmarkEnd w:id="1"/>
    </w:p>
    <w:p w:rsidR="00B95780" w:rsidRDefault="00B95780" w:rsidP="00B95780">
      <w:pPr>
        <w:jc w:val="both"/>
      </w:pPr>
      <w:r w:rsidRPr="00030FE7">
        <w:t xml:space="preserve">Целью проекта </w:t>
      </w:r>
      <w:r w:rsidRPr="007526C8">
        <w:t xml:space="preserve">является </w:t>
      </w:r>
      <w:r>
        <w:t>строительство технопарка, содержащего производственные, складские, лабораторные и офисные помещения для предприятий кластера медицинского приборостроения. Согласно концепции проекта эти помещения будут переданы в пользование предприятиям – участникам проекта в момент окончания строительства. Далее предприятия будут обязаны выкупить занимаемые помещения в течение последующих 10 лет.</w:t>
      </w:r>
    </w:p>
    <w:p w:rsidR="00B95780" w:rsidRDefault="00B95780" w:rsidP="00B95780">
      <w:pPr>
        <w:jc w:val="both"/>
      </w:pPr>
      <w:r>
        <w:t xml:space="preserve">Общая площадь технопарка составит 70000 </w:t>
      </w:r>
      <w:proofErr w:type="spellStart"/>
      <w:r>
        <w:t>кв.м</w:t>
      </w:r>
      <w:proofErr w:type="spellEnd"/>
      <w:r>
        <w:t>., из которых 26800 квадратных метров займет резидент Финляндии, желающий открыть производство в РФ (наименование резидента Финляндии будет раскрыто инициатором проекта по запросу). Оставшиеся площади будут распределены среди прочих 19 участников проекта.</w:t>
      </w:r>
    </w:p>
    <w:p w:rsidR="00B95780" w:rsidRPr="00B95780" w:rsidRDefault="00B95780" w:rsidP="00B95780">
      <w:pPr>
        <w:jc w:val="both"/>
        <w:rPr>
          <w:b/>
        </w:rPr>
      </w:pPr>
      <w:r w:rsidRPr="00B95780">
        <w:rPr>
          <w:b/>
        </w:rPr>
        <w:t>Цели и задачи проекта</w:t>
      </w:r>
    </w:p>
    <w:p w:rsidR="00B95780" w:rsidRDefault="00B95780" w:rsidP="00B95780">
      <w:pPr>
        <w:pStyle w:val="a3"/>
        <w:numPr>
          <w:ilvl w:val="0"/>
          <w:numId w:val="2"/>
        </w:numPr>
      </w:pPr>
      <w:r>
        <w:t>с</w:t>
      </w:r>
      <w:r w:rsidRPr="000979C5">
        <w:t>пособствова</w:t>
      </w:r>
      <w:r>
        <w:t>ние</w:t>
      </w:r>
      <w:r w:rsidRPr="000979C5">
        <w:t xml:space="preserve"> созданию благоприятных условий для устойчивого развития Российско-Финляндского торгово-экономического, инновационного, научного и инвестиционного сотрудничества с акцентом на развитии трансграничного медицинского кластера</w:t>
      </w:r>
      <w:r>
        <w:t>,</w:t>
      </w:r>
    </w:p>
    <w:p w:rsidR="00B95780" w:rsidRDefault="00B95780" w:rsidP="00B95780">
      <w:pPr>
        <w:pStyle w:val="a3"/>
        <w:numPr>
          <w:ilvl w:val="0"/>
          <w:numId w:val="2"/>
        </w:numPr>
      </w:pPr>
      <w:r>
        <w:t xml:space="preserve">усиление </w:t>
      </w:r>
      <w:r w:rsidRPr="00A7520E">
        <w:t xml:space="preserve">потенциала медико-биологического кластера </w:t>
      </w:r>
      <w:r>
        <w:t>как объединения малых и средних предприятий,</w:t>
      </w:r>
      <w:r w:rsidRPr="000979C5">
        <w:t xml:space="preserve"> </w:t>
      </w:r>
    </w:p>
    <w:p w:rsidR="00B95780" w:rsidRDefault="00B95780" w:rsidP="00B95780">
      <w:pPr>
        <w:pStyle w:val="a3"/>
        <w:numPr>
          <w:ilvl w:val="0"/>
          <w:numId w:val="2"/>
        </w:numPr>
      </w:pPr>
      <w:r>
        <w:t>развитие международного сотрудничества в области НИОКР</w:t>
      </w:r>
      <w:r w:rsidRPr="00A7520E">
        <w:t xml:space="preserve"> предприятий малого и среднего бизнеса, </w:t>
      </w:r>
      <w:r>
        <w:t>путем обучения, консультаций, информационной поддержки и проведения</w:t>
      </w:r>
      <w:r w:rsidRPr="00A7520E">
        <w:t xml:space="preserve"> пилотных </w:t>
      </w:r>
      <w:r>
        <w:t xml:space="preserve">проектов и </w:t>
      </w:r>
      <w:r w:rsidRPr="00A7520E">
        <w:t>исследований</w:t>
      </w:r>
      <w:r>
        <w:t xml:space="preserve"> с использование существующих финансовых инструментов РФ и ЕС,</w:t>
      </w:r>
    </w:p>
    <w:p w:rsidR="00B95780" w:rsidRDefault="00B95780" w:rsidP="00B95780">
      <w:pPr>
        <w:pStyle w:val="a3"/>
        <w:numPr>
          <w:ilvl w:val="0"/>
          <w:numId w:val="2"/>
        </w:numPr>
      </w:pPr>
      <w:proofErr w:type="gramStart"/>
      <w:r>
        <w:t>р</w:t>
      </w:r>
      <w:r w:rsidRPr="00BF0169">
        <w:t>ешение в интересах резидентов технопарка вопросов, связанных с патентованием и защитой  интеллектуальной собственности в целях предотвращения исков со стороны возможных правообладателей, как на российском, так и на зарубежных рынках, осуществление патентной защиты собственных инновационных разработок</w:t>
      </w:r>
      <w:r>
        <w:t>,</w:t>
      </w:r>
      <w:proofErr w:type="gramEnd"/>
    </w:p>
    <w:p w:rsidR="00B95780" w:rsidRDefault="00B95780" w:rsidP="00B95780">
      <w:pPr>
        <w:pStyle w:val="a3"/>
        <w:numPr>
          <w:ilvl w:val="0"/>
          <w:numId w:val="2"/>
        </w:numPr>
      </w:pPr>
      <w:r>
        <w:t>усиление продвижения трансграничного кластера медицинских технологий Россия-Финляндия путем участия в ведущих международных выставках, конференциях и других мероприятиях.</w:t>
      </w:r>
    </w:p>
    <w:p w:rsidR="00B95780" w:rsidRDefault="00B95780" w:rsidP="00B95780">
      <w:pPr>
        <w:pStyle w:val="a3"/>
        <w:numPr>
          <w:ilvl w:val="0"/>
          <w:numId w:val="2"/>
        </w:numPr>
      </w:pPr>
      <w:r>
        <w:t xml:space="preserve">создание международного центра </w:t>
      </w:r>
      <w:proofErr w:type="spellStart"/>
      <w:r>
        <w:t>сертифицирования</w:t>
      </w:r>
      <w:proofErr w:type="spellEnd"/>
      <w:r>
        <w:t xml:space="preserve"> по СИ,</w:t>
      </w:r>
    </w:p>
    <w:p w:rsidR="00B95780" w:rsidRDefault="00B95780" w:rsidP="00B95780">
      <w:pPr>
        <w:pStyle w:val="a3"/>
        <w:numPr>
          <w:ilvl w:val="0"/>
          <w:numId w:val="2"/>
        </w:numPr>
      </w:pPr>
      <w:r>
        <w:t>создание совместного центра R&amp;D проектов.</w:t>
      </w:r>
    </w:p>
    <w:p w:rsidR="00B95780" w:rsidRDefault="00B95780" w:rsidP="00B95780">
      <w:pPr>
        <w:jc w:val="both"/>
      </w:pPr>
    </w:p>
    <w:p w:rsidR="00B95780" w:rsidRPr="00B95780" w:rsidRDefault="00B95780" w:rsidP="00B95780">
      <w:pPr>
        <w:rPr>
          <w:b/>
        </w:rPr>
      </w:pPr>
      <w:bookmarkStart w:id="2" w:name="_Toc225063552"/>
      <w:bookmarkStart w:id="3" w:name="_Toc229974631"/>
      <w:bookmarkStart w:id="4" w:name="_Toc338860687"/>
      <w:bookmarkStart w:id="5" w:name="_Toc349220846"/>
      <w:bookmarkStart w:id="6" w:name="_Toc386983414"/>
      <w:r w:rsidRPr="00B95780">
        <w:rPr>
          <w:b/>
        </w:rPr>
        <w:t>Финансовые ресурсы и схема финансирования проекта</w:t>
      </w:r>
      <w:bookmarkEnd w:id="2"/>
      <w:bookmarkEnd w:id="3"/>
      <w:bookmarkEnd w:id="4"/>
      <w:bookmarkEnd w:id="5"/>
      <w:bookmarkEnd w:id="6"/>
      <w:r w:rsidRPr="00B95780">
        <w:rPr>
          <w:b/>
        </w:rPr>
        <w:t xml:space="preserve"> </w:t>
      </w:r>
    </w:p>
    <w:p w:rsidR="00B95780" w:rsidRPr="006B575F" w:rsidRDefault="00B95780" w:rsidP="00B95780">
      <w:r w:rsidRPr="006B575F">
        <w:t xml:space="preserve">В данном проекте предусмотрено несколько источников финансирования: </w:t>
      </w:r>
    </w:p>
    <w:p w:rsidR="00B95780" w:rsidRDefault="00B95780" w:rsidP="00B95780">
      <w:r>
        <w:lastRenderedPageBreak/>
        <w:t xml:space="preserve">- целевой </w:t>
      </w:r>
      <w:proofErr w:type="spellStart"/>
      <w:r>
        <w:t>займ</w:t>
      </w:r>
      <w:proofErr w:type="spellEnd"/>
      <w:r>
        <w:t xml:space="preserve"> от ОАО «ФЦПФ» в сумме 109,9 млн. руб.  на проектирование технопарка,</w:t>
      </w:r>
    </w:p>
    <w:p w:rsidR="00B95780" w:rsidRDefault="00B95780" w:rsidP="00B95780">
      <w:r>
        <w:t>- субсидия в сумме 1113,0 млн. руб. на частичную компенсацию стоимости строительных работ,</w:t>
      </w:r>
    </w:p>
    <w:p w:rsidR="00B95780" w:rsidRPr="006B575F" w:rsidRDefault="00B95780" w:rsidP="00B95780">
      <w:r>
        <w:t>- банковский кредит в сумме 1380 млн. руб. на строительство и пополнение оборотных средств</w:t>
      </w:r>
    </w:p>
    <w:p w:rsidR="00B95780" w:rsidRDefault="00B95780" w:rsidP="00B95780">
      <w:r w:rsidRPr="006B575F">
        <w:t xml:space="preserve">Общие инвестиционные затраты в проект оцениваются в </w:t>
      </w:r>
      <w:r>
        <w:t>2447</w:t>
      </w:r>
      <w:r w:rsidRPr="006B575F">
        <w:t xml:space="preserve"> </w:t>
      </w:r>
      <w:r>
        <w:t xml:space="preserve">млн. </w:t>
      </w:r>
      <w:r w:rsidRPr="006B575F">
        <w:t>руб.</w:t>
      </w:r>
    </w:p>
    <w:p w:rsidR="00B95780" w:rsidRPr="00B95780" w:rsidRDefault="00B95780">
      <w:pPr>
        <w:rPr>
          <w:b/>
        </w:rPr>
      </w:pPr>
      <w:bookmarkStart w:id="7" w:name="_Toc386983415"/>
      <w:r w:rsidRPr="00B95780">
        <w:rPr>
          <w:b/>
        </w:rPr>
        <w:t>Оценка экономической эффективности проекта</w:t>
      </w:r>
      <w:bookmarkEnd w:id="7"/>
    </w:p>
    <w:tbl>
      <w:tblPr>
        <w:tblW w:w="7540" w:type="dxa"/>
        <w:tblLook w:val="04A0" w:firstRow="1" w:lastRow="0" w:firstColumn="1" w:lastColumn="0" w:noHBand="0" w:noVBand="1"/>
      </w:tblPr>
      <w:tblGrid>
        <w:gridCol w:w="3940"/>
        <w:gridCol w:w="1000"/>
        <w:gridCol w:w="1300"/>
        <w:gridCol w:w="1300"/>
      </w:tblGrid>
      <w:tr w:rsidR="00B95780" w:rsidRPr="009640C0" w:rsidTr="00E9077F">
        <w:trPr>
          <w:trHeight w:val="240"/>
        </w:trPr>
        <w:tc>
          <w:tcPr>
            <w:tcW w:w="3940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00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Обозначение</w:t>
            </w:r>
          </w:p>
        </w:tc>
        <w:tc>
          <w:tcPr>
            <w:tcW w:w="1300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Чистая приведенная стоимость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NPV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6 554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Внутренняя норма доходности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IRR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14%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Сумма основного кредита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1 380 000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Сумма капитальных затрат с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CAPEX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2 447 663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Простой период окупаемости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PBP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5,2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Дисконтированный период  окупаемости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DPBP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vAlign w:val="center"/>
            <w:hideMark/>
          </w:tcPr>
          <w:p w:rsidR="00B95780" w:rsidRPr="009640C0" w:rsidRDefault="00B95780" w:rsidP="00E907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6,8</w:t>
            </w:r>
          </w:p>
        </w:tc>
      </w:tr>
      <w:tr w:rsidR="00B95780" w:rsidRPr="009640C0" w:rsidTr="00E9077F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Срок основного кредита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9640C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center"/>
            <w:hideMark/>
          </w:tcPr>
          <w:p w:rsidR="00B95780" w:rsidRPr="009640C0" w:rsidRDefault="00B95780" w:rsidP="00E9077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sz w:val="18"/>
                <w:szCs w:val="18"/>
              </w:rPr>
              <w:t>7,0</w:t>
            </w:r>
          </w:p>
        </w:tc>
      </w:tr>
    </w:tbl>
    <w:p w:rsidR="00B95780" w:rsidRDefault="00B95780">
      <w:r>
        <w:t>Проект обладает коммерческой эффективностью и выгоден инвесторам.</w:t>
      </w:r>
    </w:p>
    <w:p w:rsidR="00B95780" w:rsidRPr="00B95780" w:rsidRDefault="00B95780">
      <w:pPr>
        <w:rPr>
          <w:b/>
        </w:rPr>
      </w:pPr>
      <w:r w:rsidRPr="00B95780">
        <w:rPr>
          <w:b/>
        </w:rPr>
        <w:t>Бюджетная эффективность проекта</w:t>
      </w:r>
    </w:p>
    <w:p w:rsidR="00B95780" w:rsidRDefault="00B95780" w:rsidP="00B95780">
      <w:pPr>
        <w:spacing w:after="120"/>
        <w:rPr>
          <w:rFonts w:cstheme="minorHAnsi"/>
        </w:rPr>
      </w:pPr>
      <w:r>
        <w:rPr>
          <w:rFonts w:cstheme="minorHAnsi"/>
        </w:rPr>
        <w:t xml:space="preserve">Суммарный бюджетный эффект, выраженный как эффект от управляющей компании технопарка и предприятий кластера составляет </w:t>
      </w:r>
      <w:r w:rsidRPr="00402336">
        <w:rPr>
          <w:rFonts w:cstheme="minorHAnsi"/>
          <w:b/>
        </w:rPr>
        <w:t>+</w:t>
      </w:r>
      <w:r>
        <w:rPr>
          <w:rFonts w:cstheme="minorHAnsi"/>
          <w:b/>
        </w:rPr>
        <w:t>1538,9</w:t>
      </w:r>
      <w:r>
        <w:rPr>
          <w:rFonts w:cstheme="minorHAnsi"/>
        </w:rPr>
        <w:t xml:space="preserve"> млн. руб. </w:t>
      </w:r>
    </w:p>
    <w:p w:rsidR="00B95780" w:rsidRDefault="00B95780" w:rsidP="00B95780">
      <w:pPr>
        <w:spacing w:after="120"/>
        <w:rPr>
          <w:rFonts w:cstheme="minorHAnsi"/>
        </w:rPr>
      </w:pPr>
      <w:r>
        <w:rPr>
          <w:rFonts w:cstheme="minorHAnsi"/>
        </w:rPr>
        <w:t xml:space="preserve">При этом </w:t>
      </w:r>
      <w:r>
        <w:rPr>
          <w:rFonts w:cstheme="minorHAnsi"/>
          <w:lang w:val="en-US"/>
        </w:rPr>
        <w:t>NPV</w:t>
      </w:r>
      <w:r w:rsidRPr="009D5452">
        <w:rPr>
          <w:rFonts w:cstheme="minorHAnsi"/>
        </w:rPr>
        <w:t xml:space="preserve"> </w:t>
      </w:r>
      <w:r>
        <w:rPr>
          <w:rFonts w:cstheme="minorHAnsi"/>
        </w:rPr>
        <w:t xml:space="preserve">для бюджета составит также положительную величину: +89 млн. руб., </w:t>
      </w:r>
      <w:r>
        <w:rPr>
          <w:rFonts w:cstheme="minorHAnsi"/>
          <w:lang w:val="en-US"/>
        </w:rPr>
        <w:t>IRR</w:t>
      </w:r>
      <w:r>
        <w:rPr>
          <w:rFonts w:cstheme="minorHAnsi"/>
        </w:rPr>
        <w:t xml:space="preserve"> составит 16%, срок окупаемости бюджетных вложений – 7 лет</w:t>
      </w:r>
      <w:proofErr w:type="gramStart"/>
      <w:r>
        <w:rPr>
          <w:rFonts w:cstheme="minorHAnsi"/>
        </w:rPr>
        <w:t xml:space="preserve"> .</w:t>
      </w:r>
      <w:proofErr w:type="gramEnd"/>
      <w:r>
        <w:rPr>
          <w:rFonts w:cstheme="minorHAnsi"/>
        </w:rPr>
        <w:t xml:space="preserve"> </w:t>
      </w:r>
    </w:p>
    <w:p w:rsidR="00B95780" w:rsidRPr="009D5452" w:rsidRDefault="00B95780" w:rsidP="00B95780">
      <w:pPr>
        <w:spacing w:after="120"/>
        <w:rPr>
          <w:rFonts w:cstheme="minorHAnsi"/>
        </w:rPr>
      </w:pPr>
      <w:r>
        <w:rPr>
          <w:rFonts w:cstheme="minorHAnsi"/>
        </w:rPr>
        <w:t>Проект обладает положительным бюджетными эффектом и выгоден государству для реализации.</w:t>
      </w:r>
    </w:p>
    <w:p w:rsidR="00B95780" w:rsidRDefault="00B95780"/>
    <w:sectPr w:rsidR="00B9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252F"/>
    <w:multiLevelType w:val="hybridMultilevel"/>
    <w:tmpl w:val="5394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1A54"/>
    <w:multiLevelType w:val="hybridMultilevel"/>
    <w:tmpl w:val="99363F44"/>
    <w:lvl w:ilvl="0" w:tplc="E4BC7C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F"/>
    <w:rsid w:val="0000363F"/>
    <w:rsid w:val="00B95780"/>
    <w:rsid w:val="00BF6704"/>
    <w:rsid w:val="00E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780"/>
    <w:pPr>
      <w:keepNext/>
      <w:keepLines/>
      <w:shd w:val="clear" w:color="auto" w:fill="FFFFFF"/>
      <w:spacing w:before="120" w:after="120" w:line="24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80"/>
    <w:rPr>
      <w:rFonts w:eastAsiaTheme="majorEastAsia" w:cstheme="majorBidi"/>
      <w:b/>
      <w:bCs/>
      <w:color w:val="000000" w:themeColor="text1"/>
      <w:sz w:val="24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95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5780"/>
    <w:pPr>
      <w:shd w:val="clear" w:color="auto" w:fill="FFFFFF"/>
      <w:spacing w:before="120" w:after="0" w:line="240" w:lineRule="auto"/>
      <w:ind w:left="720"/>
      <w:contextualSpacing/>
      <w:jc w:val="both"/>
    </w:pPr>
    <w:rPr>
      <w:rFonts w:eastAsia="Calibri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780"/>
    <w:pPr>
      <w:keepNext/>
      <w:keepLines/>
      <w:shd w:val="clear" w:color="auto" w:fill="FFFFFF"/>
      <w:spacing w:before="120" w:after="120" w:line="240" w:lineRule="auto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780"/>
    <w:rPr>
      <w:rFonts w:eastAsiaTheme="majorEastAsia" w:cstheme="majorBidi"/>
      <w:b/>
      <w:bCs/>
      <w:color w:val="000000" w:themeColor="text1"/>
      <w:sz w:val="24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95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5780"/>
    <w:pPr>
      <w:shd w:val="clear" w:color="auto" w:fill="FFFFFF"/>
      <w:spacing w:before="120" w:after="0" w:line="240" w:lineRule="auto"/>
      <w:ind w:left="720"/>
      <w:contextualSpacing/>
      <w:jc w:val="both"/>
    </w:pPr>
    <w:rPr>
      <w:rFonts w:eastAsia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Bezruchko</dc:creator>
  <cp:keywords/>
  <dc:description/>
  <cp:lastModifiedBy>Cluster</cp:lastModifiedBy>
  <cp:revision>2</cp:revision>
  <dcterms:created xsi:type="dcterms:W3CDTF">2015-10-20T09:39:00Z</dcterms:created>
  <dcterms:modified xsi:type="dcterms:W3CDTF">2015-10-20T09:39:00Z</dcterms:modified>
</cp:coreProperties>
</file>